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Pr="00491056" w:rsidR="003060AB">
        <w:rPr>
          <w:sz w:val="28"/>
          <w:szCs w:val="28"/>
        </w:rPr>
        <w:t>60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 w:rsidRPr="00491056">
        <w:rPr>
          <w:sz w:val="28"/>
          <w:szCs w:val="28"/>
        </w:rPr>
        <w:t xml:space="preserve">22 января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491056" w:rsidR="00BD142C">
        <w:rPr>
          <w:sz w:val="28"/>
          <w:szCs w:val="28"/>
        </w:rPr>
        <w:t>Комарова Николая Михайловича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Pr="00491056" w:rsidR="00BD142C">
        <w:rPr>
          <w:sz w:val="28"/>
          <w:szCs w:val="28"/>
        </w:rPr>
        <w:t>Комарова Николая Михайловича</w:t>
      </w:r>
      <w:r w:rsidRPr="00491056" w:rsidR="001315F3">
        <w:rPr>
          <w:spacing w:val="-3"/>
          <w:sz w:val="28"/>
          <w:szCs w:val="28"/>
        </w:rPr>
        <w:t xml:space="preserve">, </w:t>
      </w:r>
      <w:r w:rsidR="00965C89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pacing w:val="-3"/>
          <w:sz w:val="28"/>
          <w:szCs w:val="28"/>
        </w:rPr>
        <w:t>0</w:t>
      </w:r>
      <w:r w:rsidRPr="00491056" w:rsidR="00F00A45">
        <w:rPr>
          <w:spacing w:val="-3"/>
          <w:sz w:val="28"/>
          <w:szCs w:val="28"/>
        </w:rPr>
        <w:t>8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01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>
        <w:rPr>
          <w:spacing w:val="-3"/>
          <w:sz w:val="28"/>
          <w:szCs w:val="28"/>
        </w:rPr>
        <w:t>04</w:t>
      </w:r>
      <w:r w:rsidRPr="00491056" w:rsidR="00AC0957">
        <w:rPr>
          <w:spacing w:val="-3"/>
          <w:sz w:val="28"/>
          <w:szCs w:val="28"/>
        </w:rPr>
        <w:t>:</w:t>
      </w:r>
      <w:r w:rsidRPr="00491056" w:rsidR="00F00A45">
        <w:rPr>
          <w:spacing w:val="-3"/>
          <w:sz w:val="28"/>
          <w:szCs w:val="28"/>
        </w:rPr>
        <w:t>57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 w:rsidRPr="00491056" w:rsidR="00F00A45">
        <w:rPr>
          <w:spacing w:val="-3"/>
          <w:sz w:val="28"/>
          <w:szCs w:val="28"/>
        </w:rPr>
        <w:t xml:space="preserve">стр. 75а Северной промзоны </w:t>
      </w:r>
      <w:r w:rsidRPr="00491056" w:rsidR="00A306DA">
        <w:rPr>
          <w:spacing w:val="-3"/>
          <w:sz w:val="28"/>
          <w:szCs w:val="28"/>
        </w:rPr>
        <w:t>г.Лангепас</w:t>
      </w:r>
      <w:r w:rsidRPr="00491056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 </w:t>
      </w:r>
      <w:r w:rsidRPr="00491056" w:rsidR="00F00A45">
        <w:rPr>
          <w:sz w:val="28"/>
          <w:szCs w:val="28"/>
        </w:rPr>
        <w:t xml:space="preserve">Комаров Н.М. </w:t>
      </w:r>
      <w:r w:rsidRPr="00491056" w:rsidR="008A3190">
        <w:rPr>
          <w:sz w:val="28"/>
          <w:szCs w:val="28"/>
        </w:rPr>
        <w:t>управлял транспортным средством</w:t>
      </w:r>
      <w:r w:rsidRPr="00491056" w:rsidR="00BE19AA">
        <w:rPr>
          <w:sz w:val="28"/>
          <w:szCs w:val="28"/>
        </w:rPr>
        <w:t xml:space="preserve"> </w:t>
      </w:r>
      <w:r w:rsidR="00965C89">
        <w:rPr>
          <w:sz w:val="28"/>
          <w:szCs w:val="28"/>
        </w:rPr>
        <w:t>*</w:t>
      </w:r>
      <w:r w:rsidRPr="00491056" w:rsidR="00F00A45">
        <w:rPr>
          <w:sz w:val="28"/>
          <w:szCs w:val="28"/>
        </w:rPr>
        <w:t xml:space="preserve"> 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 w:rsidR="00965C89">
        <w:rPr>
          <w:sz w:val="28"/>
          <w:szCs w:val="28"/>
        </w:rPr>
        <w:t>*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</w:t>
      </w:r>
      <w:r w:rsidRPr="00491056" w:rsidR="00EF515F">
        <w:rPr>
          <w:sz w:val="28"/>
          <w:szCs w:val="28"/>
        </w:rPr>
        <w:t xml:space="preserve">Комаров Н.М. </w:t>
      </w:r>
      <w:r w:rsidRPr="00491056">
        <w:rPr>
          <w:sz w:val="28"/>
          <w:szCs w:val="28"/>
        </w:rPr>
        <w:t xml:space="preserve">свою вину в совершении указанного правонарушения </w:t>
      </w:r>
      <w:r w:rsidRPr="00491056" w:rsidR="00EF515F">
        <w:rPr>
          <w:sz w:val="28"/>
          <w:szCs w:val="28"/>
        </w:rPr>
        <w:t>не признал. Пояснил, что</w:t>
      </w:r>
      <w:r w:rsidRPr="00491056" w:rsidR="00EB5EF7">
        <w:rPr>
          <w:sz w:val="28"/>
          <w:szCs w:val="28"/>
        </w:rPr>
        <w:t xml:space="preserve"> работает водителем автобуса ПАЗ,</w:t>
      </w:r>
      <w:r w:rsidRPr="00491056" w:rsidR="00EF515F">
        <w:rPr>
          <w:sz w:val="28"/>
          <w:szCs w:val="28"/>
        </w:rPr>
        <w:t xml:space="preserve"> 07.01.2025 около 22 час.</w:t>
      </w:r>
      <w:r w:rsidRPr="00491056" w:rsidR="00EB5EF7">
        <w:rPr>
          <w:sz w:val="28"/>
          <w:szCs w:val="28"/>
        </w:rPr>
        <w:t xml:space="preserve"> вернулся с работы, у него началась диарея. Для того, чтобы излечиться, ночью он выпил рюмку водки с солью, так как рано утром надо было приступить к исполнению трудовых обязанностей.</w:t>
      </w:r>
      <w:r w:rsidRPr="00491056" w:rsidR="00853D6E">
        <w:rPr>
          <w:sz w:val="28"/>
          <w:szCs w:val="28"/>
        </w:rPr>
        <w:t xml:space="preserve"> Рассчитывал без проблем пройти предрейсовый осмотр. </w:t>
      </w:r>
      <w:r w:rsidRPr="00491056" w:rsidR="00EB5EF7">
        <w:rPr>
          <w:sz w:val="28"/>
          <w:szCs w:val="28"/>
        </w:rPr>
        <w:t>По пути на работу был остановлен сотрудниками ДПС, которые составили на него протокол за отсутствие полиса ОСАГО. Он заметил, что инспектор ДПС</w:t>
      </w:r>
      <w:r w:rsidR="00491056">
        <w:rPr>
          <w:sz w:val="28"/>
          <w:szCs w:val="28"/>
        </w:rPr>
        <w:t>,</w:t>
      </w:r>
      <w:r w:rsidRPr="00491056" w:rsidR="00EB5EF7">
        <w:rPr>
          <w:sz w:val="28"/>
          <w:szCs w:val="28"/>
        </w:rPr>
        <w:t xml:space="preserve"> показывая информацию в планшете</w:t>
      </w:r>
      <w:r w:rsidR="00491056">
        <w:rPr>
          <w:sz w:val="28"/>
          <w:szCs w:val="28"/>
        </w:rPr>
        <w:t xml:space="preserve"> другому инспектору</w:t>
      </w:r>
      <w:r w:rsidRPr="00491056" w:rsidR="00EB5EF7">
        <w:rPr>
          <w:sz w:val="28"/>
          <w:szCs w:val="28"/>
        </w:rPr>
        <w:t>,</w:t>
      </w:r>
      <w:r w:rsidRPr="00491056" w:rsidR="00491056">
        <w:rPr>
          <w:sz w:val="28"/>
          <w:szCs w:val="28"/>
        </w:rPr>
        <w:t xml:space="preserve"> намека</w:t>
      </w:r>
      <w:r w:rsidR="004B3D22">
        <w:rPr>
          <w:sz w:val="28"/>
          <w:szCs w:val="28"/>
        </w:rPr>
        <w:t>л</w:t>
      </w:r>
      <w:r w:rsidRPr="00491056" w:rsidR="00491056">
        <w:rPr>
          <w:sz w:val="28"/>
          <w:szCs w:val="28"/>
        </w:rPr>
        <w:t xml:space="preserve"> </w:t>
      </w:r>
      <w:r w:rsidR="00491056">
        <w:rPr>
          <w:sz w:val="28"/>
          <w:szCs w:val="28"/>
        </w:rPr>
        <w:t>тому,</w:t>
      </w:r>
      <w:r w:rsidRPr="00491056" w:rsidR="00EB5EF7">
        <w:rPr>
          <w:sz w:val="28"/>
          <w:szCs w:val="28"/>
        </w:rPr>
        <w:t xml:space="preserve"> что ранее он (Комаров Н.М.) привлекался к административной ответственности за управление транспортным средством в состоянии опьянения. По этой причине, полицейские решили его оформить по ст. 12.8 КоАП РФ. Он допускает, что инспектор ДПС мог почувствовать от него </w:t>
      </w:r>
      <w:r w:rsidRPr="00491056" w:rsidR="00BE5828">
        <w:rPr>
          <w:sz w:val="28"/>
          <w:szCs w:val="28"/>
        </w:rPr>
        <w:t xml:space="preserve">запах алкоголя изо </w:t>
      </w:r>
      <w:r w:rsidRPr="00491056" w:rsidR="00EB5EF7">
        <w:rPr>
          <w:sz w:val="28"/>
          <w:szCs w:val="28"/>
        </w:rPr>
        <w:t xml:space="preserve">рта. Считает отстранение от управления транспортным средством не законным, поскольку автомобиль не помещался на штрафстоянку. </w:t>
      </w:r>
      <w:r w:rsidRPr="00491056" w:rsidR="002C5E16">
        <w:rPr>
          <w:sz w:val="28"/>
          <w:szCs w:val="28"/>
        </w:rPr>
        <w:t>В патрульном автомобиле ГАИ он страдал от диареи, в связи с чем не воспринимал слова инспекторов, не контролировал свои действия. Сотрудники полиции не пускали его в туалет. От дачи письменных объяснений он не отказывался, поскольку очень хотел в туалет. По той же причине сообщил полицейским о</w:t>
      </w:r>
      <w:r w:rsidRPr="00491056" w:rsidR="001173B4">
        <w:rPr>
          <w:sz w:val="28"/>
          <w:szCs w:val="28"/>
        </w:rPr>
        <w:t xml:space="preserve">б </w:t>
      </w:r>
      <w:r w:rsidRPr="00491056" w:rsidR="002C5E16">
        <w:rPr>
          <w:sz w:val="28"/>
          <w:szCs w:val="28"/>
        </w:rPr>
        <w:t>употреб</w:t>
      </w:r>
      <w:r w:rsidRPr="00491056" w:rsidR="001173B4">
        <w:rPr>
          <w:sz w:val="28"/>
          <w:szCs w:val="28"/>
        </w:rPr>
        <w:t xml:space="preserve">лении </w:t>
      </w:r>
      <w:r w:rsidRPr="00491056" w:rsidR="002C5E16">
        <w:rPr>
          <w:sz w:val="28"/>
          <w:szCs w:val="28"/>
        </w:rPr>
        <w:t>300-</w:t>
      </w:r>
      <w:r w:rsidRPr="00491056" w:rsidR="001173B4">
        <w:rPr>
          <w:sz w:val="28"/>
          <w:szCs w:val="28"/>
        </w:rPr>
        <w:t xml:space="preserve">400 гр. водки, согласился с результатами освидетельствования, с протоколом об административном правонарушении. </w:t>
      </w:r>
      <w:r w:rsidRPr="00491056" w:rsidR="003D0C51">
        <w:rPr>
          <w:sz w:val="28"/>
          <w:szCs w:val="28"/>
        </w:rPr>
        <w:t xml:space="preserve">Полагает, что алкотектор Тигон надо было использовать спустя 1 час после его транспортировки </w:t>
      </w:r>
      <w:r w:rsidRPr="00491056" w:rsidR="00BE5828">
        <w:rPr>
          <w:sz w:val="28"/>
          <w:szCs w:val="28"/>
        </w:rPr>
        <w:t xml:space="preserve">к месту проведения освидетельствования </w:t>
      </w:r>
      <w:r w:rsidRPr="00491056" w:rsidR="003D0C51">
        <w:rPr>
          <w:sz w:val="28"/>
          <w:szCs w:val="28"/>
        </w:rPr>
        <w:t xml:space="preserve">другим экипажем ДПС. Из патрульного автомобиля он </w:t>
      </w:r>
      <w:r w:rsidRPr="00491056" w:rsidR="003D0C51">
        <w:rPr>
          <w:sz w:val="28"/>
          <w:szCs w:val="28"/>
        </w:rPr>
        <w:t>выходил покурить, после про</w:t>
      </w:r>
      <w:r w:rsidRPr="00491056" w:rsidR="001173B4">
        <w:rPr>
          <w:sz w:val="28"/>
          <w:szCs w:val="28"/>
        </w:rPr>
        <w:t>вели</w:t>
      </w:r>
      <w:r w:rsidRPr="00491056" w:rsidR="003D0C51">
        <w:rPr>
          <w:sz w:val="28"/>
          <w:szCs w:val="28"/>
        </w:rPr>
        <w:t xml:space="preserve"> его освидетельствование</w:t>
      </w:r>
      <w:r w:rsidRPr="00491056" w:rsidR="001173B4">
        <w:rPr>
          <w:sz w:val="28"/>
          <w:szCs w:val="28"/>
        </w:rPr>
        <w:t xml:space="preserve">. Считает, что курение им сигареты могло способствовать неправильным результатам алкотектора. Просит исключить из доказательств как недопустимые протокол об отстранении от управления транспортным средством, акт освидетельствования, прекратить дело об административном правонарушении.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</w:t>
      </w:r>
      <w:r w:rsidRPr="00491056" w:rsidR="00477ECD">
        <w:rPr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 w:rsidR="00965C89">
        <w:rPr>
          <w:sz w:val="28"/>
          <w:szCs w:val="28"/>
        </w:rPr>
        <w:t>*</w:t>
      </w:r>
      <w:r w:rsidRPr="00491056" w:rsidR="00477ECD">
        <w:rPr>
          <w:sz w:val="28"/>
          <w:szCs w:val="28"/>
        </w:rPr>
        <w:t xml:space="preserve">, </w:t>
      </w:r>
      <w:r w:rsidR="00965C89">
        <w:rPr>
          <w:sz w:val="28"/>
          <w:szCs w:val="28"/>
        </w:rPr>
        <w:t>*</w:t>
      </w:r>
      <w:r w:rsidRPr="00491056" w:rsidR="00477ECD">
        <w:rPr>
          <w:sz w:val="28"/>
          <w:szCs w:val="28"/>
        </w:rPr>
        <w:t xml:space="preserve">., </w:t>
      </w:r>
      <w:r w:rsidRPr="00491056">
        <w:rPr>
          <w:sz w:val="28"/>
          <w:szCs w:val="28"/>
        </w:rPr>
        <w:t>изучив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 w:rsidRPr="00491056" w:rsidR="00477ECD">
        <w:rPr>
          <w:sz w:val="28"/>
          <w:szCs w:val="28"/>
        </w:rPr>
        <w:t xml:space="preserve">Комарова Н.М.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Pr="00491056" w:rsidR="000313D1">
        <w:rPr>
          <w:sz w:val="28"/>
          <w:szCs w:val="28"/>
        </w:rPr>
        <w:t xml:space="preserve">Комаровым Н.М.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Pr="00491056" w:rsidR="000313D1">
        <w:rPr>
          <w:sz w:val="28"/>
          <w:szCs w:val="28"/>
        </w:rPr>
        <w:t>256</w:t>
      </w:r>
      <w:r w:rsidRPr="00491056">
        <w:rPr>
          <w:sz w:val="28"/>
          <w:szCs w:val="28"/>
        </w:rPr>
        <w:t xml:space="preserve"> от </w:t>
      </w:r>
      <w:r w:rsidRPr="00491056" w:rsidR="00C60C87">
        <w:rPr>
          <w:sz w:val="28"/>
          <w:szCs w:val="28"/>
        </w:rPr>
        <w:t>0</w:t>
      </w:r>
      <w:r w:rsidRPr="00491056" w:rsidR="000313D1">
        <w:rPr>
          <w:sz w:val="28"/>
          <w:szCs w:val="28"/>
        </w:rPr>
        <w:t>8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01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</w:t>
      </w:r>
      <w:r w:rsidRPr="00491056" w:rsidR="008A28BB">
        <w:rPr>
          <w:sz w:val="28"/>
          <w:szCs w:val="28"/>
        </w:rPr>
        <w:t xml:space="preserve">. </w:t>
      </w:r>
      <w:r w:rsidRPr="00491056" w:rsidR="000313D1">
        <w:rPr>
          <w:sz w:val="28"/>
          <w:szCs w:val="28"/>
        </w:rPr>
        <w:t xml:space="preserve">В ходе составления протокола Комаров Н.М. </w:t>
      </w:r>
      <w:r w:rsidRPr="00491056" w:rsidR="008A28BB">
        <w:rPr>
          <w:sz w:val="28"/>
          <w:szCs w:val="28"/>
        </w:rPr>
        <w:t>с нарушением согласился</w:t>
      </w:r>
      <w:r w:rsidRPr="00491056">
        <w:rPr>
          <w:sz w:val="28"/>
          <w:szCs w:val="28"/>
        </w:rPr>
        <w:t xml:space="preserve">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Pr="00491056" w:rsidR="00916301">
        <w:rPr>
          <w:sz w:val="28"/>
          <w:szCs w:val="28"/>
        </w:rPr>
        <w:t>2</w:t>
      </w:r>
      <w:r w:rsidRPr="00491056" w:rsidR="00B35D78">
        <w:rPr>
          <w:sz w:val="28"/>
          <w:szCs w:val="28"/>
        </w:rPr>
        <w:t>50</w:t>
      </w:r>
      <w:r w:rsidRPr="00491056">
        <w:rPr>
          <w:sz w:val="28"/>
          <w:szCs w:val="28"/>
        </w:rPr>
        <w:t xml:space="preserve"> от </w:t>
      </w:r>
      <w:r w:rsidRPr="00491056" w:rsidR="00C60C87">
        <w:rPr>
          <w:sz w:val="28"/>
          <w:szCs w:val="28"/>
        </w:rPr>
        <w:t>0</w:t>
      </w:r>
      <w:r w:rsidRPr="00491056" w:rsidR="00B35D78">
        <w:rPr>
          <w:sz w:val="28"/>
          <w:szCs w:val="28"/>
        </w:rPr>
        <w:t>8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01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Pr="00491056" w:rsidR="00B35D78">
        <w:rPr>
          <w:sz w:val="28"/>
          <w:szCs w:val="28"/>
        </w:rPr>
        <w:t xml:space="preserve">Комаров Н.М.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Pr="00491056" w:rsidR="00B35D78">
        <w:rPr>
          <w:sz w:val="28"/>
          <w:szCs w:val="28"/>
        </w:rPr>
        <w:t>50068</w:t>
      </w:r>
      <w:r w:rsidRPr="00491056">
        <w:rPr>
          <w:sz w:val="28"/>
          <w:szCs w:val="28"/>
        </w:rPr>
        <w:t xml:space="preserve"> от </w:t>
      </w:r>
      <w:r w:rsidRPr="00491056" w:rsidR="00C60C87">
        <w:rPr>
          <w:sz w:val="28"/>
          <w:szCs w:val="28"/>
        </w:rPr>
        <w:t>0</w:t>
      </w:r>
      <w:r w:rsidRPr="00491056" w:rsidR="00B35D78">
        <w:rPr>
          <w:sz w:val="28"/>
          <w:szCs w:val="28"/>
        </w:rPr>
        <w:t>8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01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Pr="00491056" w:rsidR="00B35D78">
        <w:rPr>
          <w:sz w:val="28"/>
          <w:szCs w:val="28"/>
        </w:rPr>
        <w:t xml:space="preserve">Комарова Н.М. </w:t>
      </w:r>
      <w:r w:rsidRPr="00491056">
        <w:rPr>
          <w:sz w:val="28"/>
          <w:szCs w:val="28"/>
        </w:rPr>
        <w:t>установлено состояние опьянения (</w:t>
      </w:r>
      <w:r w:rsidRPr="00491056" w:rsidR="00916301">
        <w:rPr>
          <w:sz w:val="28"/>
          <w:szCs w:val="28"/>
        </w:rPr>
        <w:t>0</w:t>
      </w:r>
      <w:r w:rsidRPr="00491056">
        <w:rPr>
          <w:sz w:val="28"/>
          <w:szCs w:val="28"/>
        </w:rPr>
        <w:t>,</w:t>
      </w:r>
      <w:r w:rsidRPr="00491056" w:rsidR="00B35D78">
        <w:rPr>
          <w:sz w:val="28"/>
          <w:szCs w:val="28"/>
        </w:rPr>
        <w:t>280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Комаров Н.М.</w:t>
      </w:r>
      <w:r w:rsidRPr="00491056" w:rsidR="00583AD1">
        <w:rPr>
          <w:sz w:val="28"/>
          <w:szCs w:val="28"/>
        </w:rPr>
        <w:t xml:space="preserve">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>результатами 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4B3D2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B3D22">
        <w:rPr>
          <w:sz w:val="28"/>
          <w:szCs w:val="28"/>
        </w:rPr>
        <w:t xml:space="preserve">рапортом ст. </w:t>
      </w:r>
      <w:r>
        <w:rPr>
          <w:sz w:val="28"/>
          <w:szCs w:val="28"/>
        </w:rPr>
        <w:t>и</w:t>
      </w:r>
      <w:r w:rsidRPr="004B3D22">
        <w:rPr>
          <w:sz w:val="28"/>
          <w:szCs w:val="28"/>
        </w:rPr>
        <w:t xml:space="preserve">нспектора </w:t>
      </w:r>
      <w:r>
        <w:rPr>
          <w:sz w:val="28"/>
          <w:szCs w:val="28"/>
        </w:rPr>
        <w:t xml:space="preserve">ДПС ОВ ДПС ГИБДД ОМВД России по г. Лангепасу </w:t>
      </w:r>
      <w:r w:rsidR="00965C8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C28F0">
        <w:rPr>
          <w:sz w:val="28"/>
          <w:szCs w:val="28"/>
        </w:rPr>
        <w:t>об обстоятельствах выявления и оформления административного правонарушения, предусмотренного ч. 1 ст. 12.8 КоАП РФ, совершенного Комаровым Н.М.;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другими </w:t>
      </w:r>
      <w:r w:rsidRPr="00491056" w:rsidR="00C632FC">
        <w:rPr>
          <w:sz w:val="28"/>
          <w:szCs w:val="28"/>
        </w:rPr>
        <w:t xml:space="preserve">письменными </w:t>
      </w:r>
      <w:r w:rsidRPr="00491056">
        <w:rPr>
          <w:sz w:val="28"/>
          <w:szCs w:val="28"/>
        </w:rPr>
        <w:t xml:space="preserve">материалами дела. </w:t>
      </w:r>
    </w:p>
    <w:p w:rsidR="008866EF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Правильность содержания представленных письменных доказательств в судебном заседании подтвердили должностное лицо, составившее протокол об административном правонарушении </w:t>
      </w:r>
      <w:r w:rsidR="00965C89">
        <w:rPr>
          <w:sz w:val="28"/>
          <w:szCs w:val="28"/>
        </w:rPr>
        <w:t>*</w:t>
      </w:r>
      <w:r w:rsidRPr="00491056">
        <w:rPr>
          <w:sz w:val="28"/>
          <w:szCs w:val="28"/>
        </w:rPr>
        <w:t xml:space="preserve">., свидетель </w:t>
      </w:r>
      <w:r w:rsidR="00965C89">
        <w:rPr>
          <w:sz w:val="28"/>
          <w:szCs w:val="28"/>
        </w:rPr>
        <w:t>*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</w:rPr>
        <w:t xml:space="preserve">Основанием полагать, что водитель </w:t>
      </w:r>
      <w:r w:rsidRPr="00491056" w:rsidR="00C67E87">
        <w:rPr>
          <w:b w:val="0"/>
        </w:rPr>
        <w:t xml:space="preserve">Комаров Н.М. </w:t>
      </w:r>
      <w:r w:rsidRPr="00491056">
        <w:rPr>
          <w:b w:val="0"/>
        </w:rPr>
        <w:t>находится в состоянии опьянения, послужили выявленные у него должностным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Pr="00491056" w:rsidR="00C67E87">
        <w:rPr>
          <w:sz w:val="28"/>
          <w:szCs w:val="28"/>
        </w:rPr>
        <w:t xml:space="preserve">Комарову Н.М. </w:t>
      </w:r>
      <w:r w:rsidRPr="00491056">
        <w:rPr>
          <w:sz w:val="28"/>
          <w:szCs w:val="28"/>
        </w:rPr>
        <w:t>предложено пройти освидетельствование на состояние алкогольного опьянения</w:t>
      </w:r>
      <w:r w:rsidRPr="00491056" w:rsidR="00612AB5">
        <w:rPr>
          <w:sz w:val="28"/>
          <w:szCs w:val="28"/>
        </w:rPr>
        <w:t xml:space="preserve"> </w:t>
      </w:r>
      <w:r w:rsidRPr="00491056" w:rsidR="003F0A96">
        <w:rPr>
          <w:sz w:val="28"/>
          <w:szCs w:val="28"/>
        </w:rPr>
        <w:t xml:space="preserve">с использованием средства измерения </w:t>
      </w:r>
      <w:r w:rsidRPr="00491056" w:rsidR="00612AB5">
        <w:rPr>
          <w:sz w:val="28"/>
          <w:szCs w:val="28"/>
        </w:rPr>
        <w:t>–</w:t>
      </w:r>
      <w:r w:rsidRPr="00491056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491056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491056" w:rsidR="000730BB">
        <w:rPr>
          <w:sz w:val="28"/>
          <w:szCs w:val="28"/>
        </w:rPr>
        <w:t xml:space="preserve">. </w:t>
      </w:r>
    </w:p>
    <w:p w:rsidR="00E27DC6" w:rsidRPr="00965C89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Согласно </w:t>
      </w:r>
      <w:r w:rsidRPr="00491056" w:rsidR="008E7D31">
        <w:rPr>
          <w:sz w:val="28"/>
          <w:szCs w:val="28"/>
        </w:rPr>
        <w:t xml:space="preserve">п. 1.3 «Условия эксплуатации» </w:t>
      </w:r>
      <w:r w:rsidRPr="00491056">
        <w:rPr>
          <w:sz w:val="28"/>
          <w:szCs w:val="28"/>
        </w:rPr>
        <w:t>Р</w:t>
      </w:r>
      <w:r w:rsidRPr="00491056">
        <w:rPr>
          <w:sz w:val="28"/>
          <w:szCs w:val="28"/>
        </w:rPr>
        <w:t>уководств</w:t>
      </w:r>
      <w:r w:rsidRPr="00491056" w:rsidR="008E7D31">
        <w:rPr>
          <w:sz w:val="28"/>
          <w:szCs w:val="28"/>
        </w:rPr>
        <w:t>а</w:t>
      </w:r>
      <w:r w:rsidRPr="00491056">
        <w:rPr>
          <w:sz w:val="28"/>
          <w:szCs w:val="28"/>
        </w:rPr>
        <w:t xml:space="preserve"> по эксплуатации </w:t>
      </w:r>
      <w:r w:rsidRPr="00491056" w:rsidR="008E7D31">
        <w:rPr>
          <w:sz w:val="28"/>
          <w:szCs w:val="28"/>
        </w:rPr>
        <w:t>анализатора ТигонМ-3003, анализатор</w:t>
      </w:r>
      <w:r w:rsidR="007C28F0">
        <w:rPr>
          <w:sz w:val="28"/>
          <w:szCs w:val="28"/>
        </w:rPr>
        <w:t>ы</w:t>
      </w:r>
      <w:r w:rsidRPr="00491056" w:rsidR="008E7D31">
        <w:rPr>
          <w:sz w:val="28"/>
          <w:szCs w:val="28"/>
        </w:rPr>
        <w:t xml:space="preserve"> могут применяться как в закрытых помещениях, так и на открытом воздухе, если параметры окружающей среды соответствуют условиям эксплуатации, указанным в технических характеристиках. Не рекомендуется использовать анализаторы при сильной загазованности или задымленности окружающего воздуха, вблизи открытых емкостей со </w:t>
      </w:r>
      <w:r w:rsidRPr="00491056" w:rsidR="008E7D31">
        <w:rPr>
          <w:sz w:val="28"/>
          <w:szCs w:val="28"/>
        </w:rPr>
        <w:t>спиртосодержащими жидкостями, а также при сильном ветре</w:t>
      </w:r>
      <w:r w:rsidRPr="00491056" w:rsidR="00A6055A">
        <w:rPr>
          <w:sz w:val="28"/>
          <w:szCs w:val="28"/>
        </w:rPr>
        <w:t>, так как в таких условиях не исключается влияние окружающей среды на точность результатов. Рекомендуется не приступать к тестированию раньше, чем через 20 минут после приема испытуемым пищи, алкогольных напитков или курения. В процессе эксплуатации должны выдерживаться следующие параметры: температура окружающ</w:t>
      </w:r>
      <w:r w:rsidRPr="00491056" w:rsidR="00476DED">
        <w:rPr>
          <w:sz w:val="28"/>
          <w:szCs w:val="28"/>
        </w:rPr>
        <w:t>ей среды от -10°С до +55°С, относительная влажность 15%</w:t>
      </w:r>
      <w:r w:rsidRPr="00491056" w:rsidR="00DC776C">
        <w:rPr>
          <w:sz w:val="28"/>
          <w:szCs w:val="28"/>
        </w:rPr>
        <w:t xml:space="preserve"> </w:t>
      </w:r>
      <w:r w:rsidRPr="00491056" w:rsidR="00476DED">
        <w:rPr>
          <w:sz w:val="28"/>
          <w:szCs w:val="28"/>
        </w:rPr>
        <w:t>-</w:t>
      </w:r>
      <w:r w:rsidRPr="00491056" w:rsidR="00DC776C">
        <w:rPr>
          <w:sz w:val="28"/>
          <w:szCs w:val="28"/>
        </w:rPr>
        <w:t xml:space="preserve"> </w:t>
      </w:r>
      <w:r w:rsidRPr="00491056" w:rsidR="00476DED">
        <w:rPr>
          <w:sz w:val="28"/>
          <w:szCs w:val="28"/>
        </w:rPr>
        <w:t>95% (без конденсации влаги)</w:t>
      </w:r>
      <w:r w:rsidRPr="00491056" w:rsidR="00DC776C">
        <w:rPr>
          <w:sz w:val="28"/>
          <w:szCs w:val="28"/>
        </w:rPr>
        <w:t xml:space="preserve">. Атмосферное давление 85 кПа – 106,7 кПа.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После транспортировки анализатора до начала эксплуатации необходимо оставить его в условиях эксплуатации не менее 1 часа, чтобы снизить риск его неисправной работы по причине образования конденсата (п. 4 «Транспортировка» Руководства по эксплуатации анализатора ТигонМ-3003). </w:t>
      </w:r>
      <w:r w:rsidRPr="00491056" w:rsidR="008E7D31">
        <w:rPr>
          <w:sz w:val="28"/>
          <w:szCs w:val="28"/>
        </w:rPr>
        <w:t xml:space="preserve">  </w:t>
      </w:r>
      <w:r w:rsidRPr="00491056" w:rsidR="00612AB5">
        <w:rPr>
          <w:sz w:val="28"/>
          <w:szCs w:val="28"/>
        </w:rPr>
        <w:t xml:space="preserve"> </w:t>
      </w:r>
    </w:p>
    <w:p w:rsidR="008F60FC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должностное лицо, составившее протокол об административном правонарушении </w:t>
      </w:r>
      <w:r w:rsidR="00965C89">
        <w:rPr>
          <w:sz w:val="28"/>
          <w:szCs w:val="28"/>
        </w:rPr>
        <w:t>*</w:t>
      </w:r>
      <w:r w:rsidRPr="00491056">
        <w:rPr>
          <w:sz w:val="28"/>
          <w:szCs w:val="28"/>
        </w:rPr>
        <w:t xml:space="preserve">., свидетель </w:t>
      </w:r>
      <w:r w:rsidR="00965C89">
        <w:rPr>
          <w:sz w:val="28"/>
          <w:szCs w:val="28"/>
        </w:rPr>
        <w:t>*</w:t>
      </w:r>
      <w:r w:rsidRPr="00491056" w:rsidR="00EF2B58">
        <w:rPr>
          <w:sz w:val="28"/>
          <w:szCs w:val="28"/>
        </w:rPr>
        <w:t xml:space="preserve"> пояснили, что </w:t>
      </w:r>
      <w:r w:rsidRPr="00491056" w:rsidR="0091599A">
        <w:rPr>
          <w:sz w:val="28"/>
          <w:szCs w:val="28"/>
        </w:rPr>
        <w:t xml:space="preserve">средство измерения ТигонМ-3003 в отношении Комарова Н.М.  использовано в соответствии с руководством по эксплуатации. Анализатор ТигонМ-3003 им привез </w:t>
      </w:r>
      <w:r w:rsidRPr="00491056">
        <w:rPr>
          <w:sz w:val="28"/>
          <w:szCs w:val="28"/>
        </w:rPr>
        <w:t xml:space="preserve">инспектор ГАИ </w:t>
      </w:r>
      <w:r w:rsidR="00965C89">
        <w:rPr>
          <w:sz w:val="28"/>
          <w:szCs w:val="28"/>
        </w:rPr>
        <w:t>*</w:t>
      </w:r>
    </w:p>
    <w:p w:rsidR="008F3AE9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Свидетель </w:t>
      </w:r>
      <w:r w:rsidR="00965C89">
        <w:rPr>
          <w:sz w:val="28"/>
          <w:szCs w:val="28"/>
        </w:rPr>
        <w:t>*</w:t>
      </w:r>
      <w:r w:rsidRPr="00491056">
        <w:rPr>
          <w:sz w:val="28"/>
          <w:szCs w:val="28"/>
        </w:rPr>
        <w:t xml:space="preserve"> в судебном заседании показал, что анализатор ТигонМ-3003 находился при нем в салоне отапливаемого патрульного автомобиля более 4 часов. </w:t>
      </w:r>
    </w:p>
    <w:p w:rsidR="002A2A68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Таким образом, средство измерения находилось в условиях эксплуатации более 1 часа, соответствующие доводы Комарова Н.М. подлежат отклонению. </w:t>
      </w:r>
    </w:p>
    <w:p w:rsidR="002A2A68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Не влечет признание незаконными результатов освидетельствования на состояние алкогольного опьянения курение Комаровым Н.М. сигарет, поскольку вышеуказанные положения Руководства по эксплуатации анализатора ТигонМ-3003 носят рекомендательный характер. </w:t>
      </w:r>
    </w:p>
    <w:p w:rsidR="004335C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Показания Комарова Н.М., данные им в судебном заседании, не соответствуют его поведению, зафиксированному видеосъемкой, приобщенной к материалам дела. </w:t>
      </w:r>
      <w:r w:rsidRPr="00491056" w:rsidR="0091599A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Pr="00491056" w:rsidR="00491056">
        <w:rPr>
          <w:sz w:val="28"/>
          <w:szCs w:val="28"/>
        </w:rPr>
        <w:t xml:space="preserve">Комарова Н.М.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C4043C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Обстоятельств, смягчающи</w:t>
      </w:r>
      <w:r w:rsidRPr="00491056" w:rsidR="00491056">
        <w:rPr>
          <w:sz w:val="28"/>
          <w:szCs w:val="28"/>
        </w:rPr>
        <w:t>х</w:t>
      </w:r>
      <w:r w:rsidRPr="00491056">
        <w:rPr>
          <w:sz w:val="28"/>
          <w:szCs w:val="28"/>
        </w:rPr>
        <w:t xml:space="preserve"> административную ответственность,</w:t>
      </w:r>
      <w:r w:rsidRPr="00491056" w:rsidR="00491056">
        <w:rPr>
          <w:sz w:val="28"/>
          <w:szCs w:val="28"/>
        </w:rPr>
        <w:t xml:space="preserve"> не имеется</w:t>
      </w:r>
      <w:r w:rsidRPr="00491056">
        <w:rPr>
          <w:sz w:val="28"/>
          <w:szCs w:val="28"/>
        </w:rPr>
        <w:t>.</w:t>
      </w:r>
    </w:p>
    <w:p w:rsidR="00916301" w:rsidRPr="00491056" w:rsidP="00491056">
      <w:pPr>
        <w:pStyle w:val="BodyText2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Pr="00491056" w:rsidR="00491056">
        <w:rPr>
          <w:sz w:val="28"/>
          <w:szCs w:val="28"/>
        </w:rPr>
        <w:t xml:space="preserve">Комарову Н.М. </w:t>
      </w:r>
      <w:r w:rsidRPr="00491056">
        <w:rPr>
          <w:sz w:val="28"/>
          <w:szCs w:val="28"/>
        </w:rPr>
        <w:t>наказание в</w:t>
      </w:r>
      <w:r w:rsidRPr="00491056" w:rsidR="00491056">
        <w:rPr>
          <w:sz w:val="28"/>
          <w:szCs w:val="28"/>
        </w:rPr>
        <w:t xml:space="preserve"> 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Комарова Николая Михайловича</w:t>
      </w:r>
      <w:r w:rsidRPr="00491056" w:rsidR="00D97ACE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</w:t>
      </w:r>
      <w:r w:rsidRPr="00491056">
        <w:rPr>
          <w:sz w:val="28"/>
          <w:szCs w:val="28"/>
        </w:rPr>
        <w:t xml:space="preserve">назначить ему наказание в виде административного штрафа в размере </w:t>
      </w:r>
      <w:r w:rsidRPr="00491056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Pr="00491056">
        <w:rPr>
          <w:sz w:val="28"/>
          <w:szCs w:val="28"/>
        </w:rPr>
        <w:t>8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0047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36AC0"/>
    <w:rsid w:val="00042967"/>
    <w:rsid w:val="000450AA"/>
    <w:rsid w:val="00053996"/>
    <w:rsid w:val="00053C23"/>
    <w:rsid w:val="00054C6D"/>
    <w:rsid w:val="000626E0"/>
    <w:rsid w:val="000634A7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2AA2"/>
    <w:rsid w:val="000A4070"/>
    <w:rsid w:val="000A48EA"/>
    <w:rsid w:val="000B0185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743E"/>
    <w:rsid w:val="000F7B68"/>
    <w:rsid w:val="00111306"/>
    <w:rsid w:val="001173B4"/>
    <w:rsid w:val="0012693A"/>
    <w:rsid w:val="001304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6011A"/>
    <w:rsid w:val="00263892"/>
    <w:rsid w:val="00263F10"/>
    <w:rsid w:val="00264A80"/>
    <w:rsid w:val="00264C26"/>
    <w:rsid w:val="002653B1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7258"/>
    <w:rsid w:val="003878E8"/>
    <w:rsid w:val="0039050F"/>
    <w:rsid w:val="00396C86"/>
    <w:rsid w:val="003A107D"/>
    <w:rsid w:val="003A5B2D"/>
    <w:rsid w:val="003A6588"/>
    <w:rsid w:val="003A690B"/>
    <w:rsid w:val="003A71D1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E05C8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6170"/>
    <w:rsid w:val="004E74CF"/>
    <w:rsid w:val="004F162F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532B"/>
    <w:rsid w:val="006753CB"/>
    <w:rsid w:val="006755DE"/>
    <w:rsid w:val="00677006"/>
    <w:rsid w:val="00690CB8"/>
    <w:rsid w:val="00693B07"/>
    <w:rsid w:val="006950DD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925A8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78B1"/>
    <w:rsid w:val="007C0730"/>
    <w:rsid w:val="007C28F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70D7"/>
    <w:rsid w:val="007E73F5"/>
    <w:rsid w:val="007F2504"/>
    <w:rsid w:val="008017A9"/>
    <w:rsid w:val="00802C15"/>
    <w:rsid w:val="00807926"/>
    <w:rsid w:val="00810797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7D59"/>
    <w:rsid w:val="00841D78"/>
    <w:rsid w:val="00842E5E"/>
    <w:rsid w:val="0084393D"/>
    <w:rsid w:val="0084437C"/>
    <w:rsid w:val="0084512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5BEB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7D3A"/>
    <w:rsid w:val="009602DB"/>
    <w:rsid w:val="00961866"/>
    <w:rsid w:val="00963D59"/>
    <w:rsid w:val="00965C8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19C4"/>
    <w:rsid w:val="00A724FF"/>
    <w:rsid w:val="00A73321"/>
    <w:rsid w:val="00A76175"/>
    <w:rsid w:val="00A76625"/>
    <w:rsid w:val="00A81BAB"/>
    <w:rsid w:val="00A81F71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67B7"/>
    <w:rsid w:val="00D4114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53F4"/>
    <w:rsid w:val="00F5661F"/>
    <w:rsid w:val="00F56EFF"/>
    <w:rsid w:val="00F639BD"/>
    <w:rsid w:val="00F67457"/>
    <w:rsid w:val="00F67862"/>
    <w:rsid w:val="00F81335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66D233F-64B8-4E97-AA87-03FCE0A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